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39" w:rsidRPr="00322439" w:rsidRDefault="00322439" w:rsidP="00322439">
      <w:pPr>
        <w:spacing w:line="320" w:lineRule="atLeast"/>
        <w:outlineLvl w:val="0"/>
        <w:rPr>
          <w:rFonts w:ascii="Times" w:hAnsi="Times"/>
          <w:b/>
          <w:caps/>
          <w:color w:val="009C5C"/>
          <w:kern w:val="36"/>
          <w:sz w:val="27"/>
          <w:szCs w:val="27"/>
        </w:rPr>
      </w:pPr>
      <w:r w:rsidRPr="00322439">
        <w:rPr>
          <w:rFonts w:ascii="Times" w:hAnsi="Times"/>
          <w:b/>
          <w:caps/>
          <w:color w:val="009C5C"/>
          <w:kern w:val="36"/>
          <w:sz w:val="27"/>
          <w:szCs w:val="27"/>
        </w:rPr>
        <w:t>BENEFITS INFORMATION</w:t>
      </w:r>
    </w:p>
    <w:p w:rsidR="00322439" w:rsidRPr="00322439" w:rsidRDefault="00322439" w:rsidP="00322439">
      <w:pPr>
        <w:numPr>
          <w:ilvl w:val="0"/>
          <w:numId w:val="1"/>
        </w:numPr>
        <w:spacing w:line="187" w:lineRule="atLeast"/>
        <w:ind w:left="0"/>
        <w:textAlignment w:val="top"/>
        <w:rPr>
          <w:rFonts w:ascii="Times" w:hAnsi="Times"/>
          <w:sz w:val="16"/>
          <w:szCs w:val="16"/>
        </w:rPr>
      </w:pPr>
      <w:hyperlink r:id="rId5" w:history="1">
        <w:r w:rsidRPr="00322439">
          <w:rPr>
            <w:rFonts w:ascii="Times" w:hAnsi="Times"/>
            <w:color w:val="5E5E5E"/>
            <w:sz w:val="16"/>
            <w:u w:val="single"/>
          </w:rPr>
          <w:t>PA Lottery Winners</w:t>
        </w:r>
      </w:hyperlink>
    </w:p>
    <w:p w:rsidR="00322439" w:rsidRPr="00322439" w:rsidRDefault="00322439" w:rsidP="00322439">
      <w:pPr>
        <w:numPr>
          <w:ilvl w:val="0"/>
          <w:numId w:val="1"/>
        </w:numPr>
        <w:spacing w:line="187" w:lineRule="atLeast"/>
        <w:ind w:left="0"/>
        <w:textAlignment w:val="top"/>
        <w:rPr>
          <w:rFonts w:ascii="Times" w:hAnsi="Times"/>
          <w:sz w:val="16"/>
          <w:szCs w:val="16"/>
        </w:rPr>
      </w:pPr>
      <w:hyperlink r:id="rId6" w:history="1">
        <w:r w:rsidRPr="00322439">
          <w:rPr>
            <w:rFonts w:ascii="Times" w:hAnsi="Times"/>
            <w:b/>
            <w:bCs/>
            <w:color w:val="5E5E5E"/>
            <w:sz w:val="16"/>
            <w:u w:val="single"/>
          </w:rPr>
          <w:t>Who Benefits</w:t>
        </w:r>
      </w:hyperlink>
    </w:p>
    <w:p w:rsidR="00322439" w:rsidRPr="00322439" w:rsidRDefault="00322439" w:rsidP="00322439">
      <w:pPr>
        <w:numPr>
          <w:ilvl w:val="0"/>
          <w:numId w:val="1"/>
        </w:numPr>
        <w:spacing w:line="187" w:lineRule="atLeast"/>
        <w:ind w:left="0"/>
        <w:textAlignment w:val="top"/>
        <w:rPr>
          <w:rFonts w:ascii="Times" w:hAnsi="Times"/>
          <w:sz w:val="16"/>
          <w:szCs w:val="16"/>
        </w:rPr>
      </w:pPr>
      <w:hyperlink r:id="rId7" w:history="1">
        <w:r w:rsidRPr="00322439">
          <w:rPr>
            <w:rFonts w:ascii="Times" w:hAnsi="Times"/>
            <w:color w:val="5E5E5E"/>
            <w:sz w:val="16"/>
            <w:u w:val="single"/>
          </w:rPr>
          <w:t>Where Does The Money Go?</w:t>
        </w:r>
      </w:hyperlink>
    </w:p>
    <w:p w:rsidR="00322439" w:rsidRPr="00322439" w:rsidRDefault="00322439" w:rsidP="00322439">
      <w:pPr>
        <w:numPr>
          <w:ilvl w:val="0"/>
          <w:numId w:val="1"/>
        </w:numPr>
        <w:spacing w:line="187" w:lineRule="atLeast"/>
        <w:ind w:left="0"/>
        <w:textAlignment w:val="top"/>
        <w:rPr>
          <w:rFonts w:ascii="Times" w:hAnsi="Times"/>
          <w:sz w:val="16"/>
          <w:szCs w:val="16"/>
        </w:rPr>
      </w:pPr>
      <w:hyperlink r:id="rId8" w:history="1">
        <w:r w:rsidRPr="00322439">
          <w:rPr>
            <w:rFonts w:ascii="Times" w:hAnsi="Times"/>
            <w:color w:val="5E5E5E"/>
            <w:sz w:val="16"/>
            <w:u w:val="single"/>
          </w:rPr>
          <w:t>How to Claim Your Prize</w:t>
        </w:r>
      </w:hyperlink>
    </w:p>
    <w:p w:rsidR="00322439" w:rsidRPr="00322439" w:rsidRDefault="00322439" w:rsidP="00322439">
      <w:pPr>
        <w:numPr>
          <w:ilvl w:val="0"/>
          <w:numId w:val="1"/>
        </w:numPr>
        <w:spacing w:line="187" w:lineRule="atLeast"/>
        <w:ind w:left="0"/>
        <w:textAlignment w:val="top"/>
        <w:rPr>
          <w:rFonts w:ascii="Times" w:hAnsi="Times"/>
          <w:sz w:val="16"/>
          <w:szCs w:val="16"/>
        </w:rPr>
      </w:pPr>
      <w:hyperlink r:id="rId9" w:history="1">
        <w:r w:rsidRPr="00322439">
          <w:rPr>
            <w:rFonts w:ascii="Times" w:hAnsi="Times"/>
            <w:color w:val="5E5E5E"/>
            <w:sz w:val="16"/>
            <w:u w:val="single"/>
          </w:rPr>
          <w:t>Winners &amp; Beneficiaries Gallery</w:t>
        </w:r>
      </w:hyperlink>
    </w:p>
    <w:p w:rsidR="00322439" w:rsidRPr="00322439" w:rsidRDefault="00322439" w:rsidP="00322439">
      <w:pPr>
        <w:rPr>
          <w:rFonts w:ascii="Times" w:hAnsi="Times"/>
          <w:sz w:val="20"/>
          <w:szCs w:val="20"/>
        </w:rPr>
      </w:pPr>
      <w:r>
        <w:rPr>
          <w:rFonts w:ascii="Times" w:hAnsi="Times"/>
          <w:noProof/>
          <w:sz w:val="20"/>
          <w:szCs w:val="20"/>
        </w:rPr>
        <w:drawing>
          <wp:inline distT="0" distB="0" distL="0" distR="0">
            <wp:extent cx="1464945" cy="906145"/>
            <wp:effectExtent l="25400" t="0" r="8255" b="0"/>
            <wp:docPr id="1" name="Picture 1" descr="http://www.palottery.state.pa.us/getattachment/797ec612-d6ce-4b5a-ba57-43a646d70af3/Area-Agencies-on-Aging-and-Senior-Center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ottery.state.pa.us/getattachment/797ec612-d6ce-4b5a-ba57-43a646d70af3/Area-Agencies-on-Aging-and-Senior-Centers.aspx"/>
                    <pic:cNvPicPr>
                      <a:picLocks noChangeAspect="1" noChangeArrowheads="1"/>
                    </pic:cNvPicPr>
                  </pic:nvPicPr>
                  <pic:blipFill>
                    <a:blip r:embed="rId10"/>
                    <a:srcRect/>
                    <a:stretch>
                      <a:fillRect/>
                    </a:stretch>
                  </pic:blipFill>
                  <pic:spPr bwMode="auto">
                    <a:xfrm>
                      <a:off x="0" y="0"/>
                      <a:ext cx="1464945" cy="906145"/>
                    </a:xfrm>
                    <a:prstGeom prst="rect">
                      <a:avLst/>
                    </a:prstGeom>
                    <a:noFill/>
                    <a:ln w="9525">
                      <a:noFill/>
                      <a:miter lim="800000"/>
                      <a:headEnd/>
                      <a:tailEnd/>
                    </a:ln>
                  </pic:spPr>
                </pic:pic>
              </a:graphicData>
            </a:graphic>
          </wp:inline>
        </w:drawing>
      </w:r>
    </w:p>
    <w:p w:rsidR="00322439" w:rsidRPr="00322439" w:rsidRDefault="00322439" w:rsidP="00322439">
      <w:pPr>
        <w:pBdr>
          <w:bottom w:val="single" w:sz="4" w:space="0" w:color="C3C3C3"/>
        </w:pBdr>
        <w:spacing w:line="373" w:lineRule="atLeast"/>
        <w:outlineLvl w:val="2"/>
        <w:rPr>
          <w:rFonts w:ascii="Times" w:hAnsi="Times"/>
          <w:color w:val="009C5C"/>
          <w:sz w:val="27"/>
          <w:szCs w:val="27"/>
        </w:rPr>
      </w:pPr>
      <w:r w:rsidRPr="00322439">
        <w:rPr>
          <w:rFonts w:ascii="Times" w:hAnsi="Times"/>
          <w:color w:val="009C5C"/>
          <w:sz w:val="27"/>
          <w:szCs w:val="27"/>
        </w:rPr>
        <w:t>Area Agencies on Aging and Senior Centers</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Pennsylvania's 52 Area Agencies on Aging, or AAAs, cover all 67 counties and serve as the local representatives for the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"http://www.aging.state.pa.us/"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Pennsylvania Department of Aging.</w:t>
      </w:r>
      <w:r w:rsidRPr="00322439">
        <w:rPr>
          <w:rFonts w:ascii="Times" w:hAnsi="Times" w:cs="Times New Roman"/>
          <w:sz w:val="20"/>
          <w:szCs w:val="20"/>
        </w:rPr>
        <w:fldChar w:fldCharType="end"/>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 xml:space="preserve">The AAAs </w:t>
      </w:r>
      <w:proofErr w:type="gramStart"/>
      <w:r w:rsidRPr="00322439">
        <w:rPr>
          <w:rFonts w:ascii="Times" w:hAnsi="Times" w:cs="Times New Roman"/>
          <w:sz w:val="20"/>
          <w:szCs w:val="20"/>
        </w:rPr>
        <w:t>administer</w:t>
      </w:r>
      <w:proofErr w:type="gramEnd"/>
      <w:r w:rsidRPr="00322439">
        <w:rPr>
          <w:rFonts w:ascii="Times" w:hAnsi="Times" w:cs="Times New Roman"/>
          <w:sz w:val="20"/>
          <w:szCs w:val="20"/>
        </w:rPr>
        <w:t xml:space="preserve"> senior centers across the state and provide a wide variety of services, including:</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Assessments and program referrals</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Home-delivered meals</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Health insurance counseling</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Ombudsman services and legal assistance</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Protective services</w:t>
      </w:r>
    </w:p>
    <w:p w:rsidR="00322439" w:rsidRPr="00322439" w:rsidRDefault="00322439" w:rsidP="00322439">
      <w:pPr>
        <w:numPr>
          <w:ilvl w:val="0"/>
          <w:numId w:val="2"/>
        </w:numPr>
        <w:spacing w:beforeLines="1"/>
        <w:rPr>
          <w:rFonts w:ascii="Times" w:hAnsi="Times"/>
          <w:sz w:val="20"/>
          <w:szCs w:val="20"/>
        </w:rPr>
      </w:pPr>
      <w:r w:rsidRPr="00322439">
        <w:rPr>
          <w:rFonts w:ascii="Times" w:hAnsi="Times"/>
          <w:sz w:val="20"/>
          <w:szCs w:val="20"/>
        </w:rPr>
        <w:t>Transportation</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In 2011-12, the Lottery contributed more than $286 million to the 52 Area Agencies on Aging. These funds helped the AAAs to provide more than 8.6 million meals served at senior centers and delivered to seniors' homes. On average last year, the Pennsylvania Lottery helped provide 23,700 hot meals for older residents, every day.</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For more information visit the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"http://www.aging.state.pa.us/"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Pennsylvania Department of Aging website</w:t>
      </w:r>
      <w:r w:rsidRPr="00322439">
        <w:rPr>
          <w:rFonts w:ascii="Times" w:hAnsi="Times" w:cs="Times New Roman"/>
          <w:sz w:val="20"/>
          <w:szCs w:val="20"/>
        </w:rPr>
        <w:fldChar w:fldCharType="end"/>
      </w:r>
      <w:r w:rsidRPr="00322439">
        <w:rPr>
          <w:rFonts w:ascii="Times" w:hAnsi="Times" w:cs="Times New Roman"/>
          <w:sz w:val="20"/>
          <w:szCs w:val="20"/>
        </w:rPr>
        <w:t> to find an Area Agency on Aging near you. Visit the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"http://www.paseniorcenters.org/"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PA Senior Centers website</w:t>
      </w:r>
      <w:r w:rsidRPr="00322439">
        <w:rPr>
          <w:rFonts w:ascii="Times" w:hAnsi="Times" w:cs="Times New Roman"/>
          <w:sz w:val="20"/>
          <w:szCs w:val="20"/>
        </w:rPr>
        <w:fldChar w:fldCharType="end"/>
      </w:r>
      <w:r w:rsidRPr="00322439">
        <w:rPr>
          <w:rFonts w:ascii="Times" w:hAnsi="Times" w:cs="Times New Roman"/>
          <w:sz w:val="20"/>
          <w:szCs w:val="20"/>
        </w:rPr>
        <w:t> or call 717-783-1550.</w:t>
      </w:r>
    </w:p>
    <w:p w:rsidR="00322439" w:rsidRPr="00322439" w:rsidRDefault="00322439" w:rsidP="00322439">
      <w:pPr>
        <w:rPr>
          <w:rFonts w:ascii="Times" w:hAnsi="Times"/>
          <w:sz w:val="20"/>
          <w:szCs w:val="20"/>
        </w:rPr>
      </w:pPr>
      <w:r>
        <w:rPr>
          <w:rFonts w:ascii="Times" w:hAnsi="Times"/>
          <w:noProof/>
          <w:sz w:val="20"/>
          <w:szCs w:val="20"/>
        </w:rPr>
        <w:drawing>
          <wp:inline distT="0" distB="0" distL="0" distR="0">
            <wp:extent cx="1464945" cy="906145"/>
            <wp:effectExtent l="25400" t="0" r="8255" b="0"/>
            <wp:docPr id="2" name="Picture 2" descr="http://www.palottery.state.pa.us/getattachment/c7923b45-a8eb-4541-a878-1a5cefef629f/PACE-PACENET-PACE-Plus-Medicar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ottery.state.pa.us/getattachment/c7923b45-a8eb-4541-a878-1a5cefef629f/PACE-PACENET-PACE-Plus-Medicare.aspx"/>
                    <pic:cNvPicPr>
                      <a:picLocks noChangeAspect="1" noChangeArrowheads="1"/>
                    </pic:cNvPicPr>
                  </pic:nvPicPr>
                  <pic:blipFill>
                    <a:blip r:embed="rId10"/>
                    <a:srcRect/>
                    <a:stretch>
                      <a:fillRect/>
                    </a:stretch>
                  </pic:blipFill>
                  <pic:spPr bwMode="auto">
                    <a:xfrm>
                      <a:off x="0" y="0"/>
                      <a:ext cx="1464945" cy="906145"/>
                    </a:xfrm>
                    <a:prstGeom prst="rect">
                      <a:avLst/>
                    </a:prstGeom>
                    <a:noFill/>
                    <a:ln w="9525">
                      <a:noFill/>
                      <a:miter lim="800000"/>
                      <a:headEnd/>
                      <a:tailEnd/>
                    </a:ln>
                  </pic:spPr>
                </pic:pic>
              </a:graphicData>
            </a:graphic>
          </wp:inline>
        </w:drawing>
      </w:r>
    </w:p>
    <w:p w:rsidR="00322439" w:rsidRPr="00322439" w:rsidRDefault="00322439" w:rsidP="00322439">
      <w:pPr>
        <w:pBdr>
          <w:bottom w:val="single" w:sz="4" w:space="0" w:color="C3C3C3"/>
        </w:pBdr>
        <w:spacing w:line="373" w:lineRule="atLeast"/>
        <w:outlineLvl w:val="2"/>
        <w:rPr>
          <w:rFonts w:ascii="Times" w:hAnsi="Times"/>
          <w:color w:val="009C5C"/>
          <w:sz w:val="27"/>
          <w:szCs w:val="27"/>
        </w:rPr>
      </w:pPr>
      <w:r w:rsidRPr="00322439">
        <w:rPr>
          <w:rFonts w:ascii="Times" w:hAnsi="Times"/>
          <w:color w:val="009C5C"/>
          <w:sz w:val="27"/>
          <w:szCs w:val="27"/>
        </w:rPr>
        <w:t>PACE / PACENET/ PACE Plus Medicare</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PACE, PACENET and PACE Plus Medicare are Pennsylvania's low-cost prescription drug programs for older adults.</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In 2011-12, Lottery contributions to these low-cost prescription drug programs totaled nearly $225 million. PACE and PACENET recipients across the state received more than 11.4 million prescriptions, and on average Lottery funding helped to provide more than 31,300 prescriptions to older Pennsylvanians, every day.</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For more information, please visit the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"http://www.aging.state.pa.us/portal/server.pt/community/prescription_assistance/17942"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PACE/PACENET homepage</w:t>
      </w:r>
      <w:r w:rsidRPr="00322439">
        <w:rPr>
          <w:rFonts w:ascii="Times" w:hAnsi="Times" w:cs="Times New Roman"/>
          <w:sz w:val="20"/>
          <w:szCs w:val="20"/>
        </w:rPr>
        <w:fldChar w:fldCharType="end"/>
      </w:r>
      <w:r w:rsidRPr="00322439">
        <w:rPr>
          <w:rFonts w:ascii="Times" w:hAnsi="Times" w:cs="Times New Roman"/>
          <w:sz w:val="20"/>
          <w:szCs w:val="20"/>
        </w:rPr>
        <w:t> or call, toll-free, at 1-800-225-7223.</w:t>
      </w:r>
    </w:p>
    <w:p w:rsidR="00322439" w:rsidRPr="00322439" w:rsidRDefault="00322439" w:rsidP="00322439">
      <w:pPr>
        <w:rPr>
          <w:rFonts w:ascii="Times" w:hAnsi="Times"/>
          <w:sz w:val="20"/>
          <w:szCs w:val="20"/>
        </w:rPr>
      </w:pPr>
      <w:r>
        <w:rPr>
          <w:rFonts w:ascii="Times" w:hAnsi="Times"/>
          <w:noProof/>
          <w:sz w:val="20"/>
          <w:szCs w:val="20"/>
        </w:rPr>
        <w:drawing>
          <wp:inline distT="0" distB="0" distL="0" distR="0">
            <wp:extent cx="1541145" cy="753745"/>
            <wp:effectExtent l="25400" t="0" r="8255" b="0"/>
            <wp:docPr id="3" name="Picture 3" descr="http://www.palottery.state.pa.us/getattachment/4592b443-43c9-4f6f-966e-a48659f0006b/Free-Transit-Reduced-Fare-Shared-Ride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ottery.state.pa.us/getattachment/4592b443-43c9-4f6f-966e-a48659f0006b/Free-Transit-Reduced-Fare-Shared-Rides.aspx"/>
                    <pic:cNvPicPr>
                      <a:picLocks noChangeAspect="1" noChangeArrowheads="1"/>
                    </pic:cNvPicPr>
                  </pic:nvPicPr>
                  <pic:blipFill>
                    <a:blip r:embed="rId11"/>
                    <a:srcRect/>
                    <a:stretch>
                      <a:fillRect/>
                    </a:stretch>
                  </pic:blipFill>
                  <pic:spPr bwMode="auto">
                    <a:xfrm>
                      <a:off x="0" y="0"/>
                      <a:ext cx="1541145" cy="753745"/>
                    </a:xfrm>
                    <a:prstGeom prst="rect">
                      <a:avLst/>
                    </a:prstGeom>
                    <a:noFill/>
                    <a:ln w="9525">
                      <a:noFill/>
                      <a:miter lim="800000"/>
                      <a:headEnd/>
                      <a:tailEnd/>
                    </a:ln>
                  </pic:spPr>
                </pic:pic>
              </a:graphicData>
            </a:graphic>
          </wp:inline>
        </w:drawing>
      </w:r>
    </w:p>
    <w:p w:rsidR="00322439" w:rsidRPr="00322439" w:rsidRDefault="00322439" w:rsidP="00322439">
      <w:pPr>
        <w:pBdr>
          <w:bottom w:val="single" w:sz="4" w:space="0" w:color="C3C3C3"/>
        </w:pBdr>
        <w:spacing w:line="373" w:lineRule="atLeast"/>
        <w:outlineLvl w:val="2"/>
        <w:rPr>
          <w:rFonts w:ascii="Times" w:hAnsi="Times"/>
          <w:color w:val="009C5C"/>
          <w:sz w:val="27"/>
          <w:szCs w:val="27"/>
        </w:rPr>
      </w:pPr>
      <w:r w:rsidRPr="00322439">
        <w:rPr>
          <w:rFonts w:ascii="Times" w:hAnsi="Times"/>
          <w:color w:val="009C5C"/>
          <w:sz w:val="27"/>
          <w:szCs w:val="27"/>
        </w:rPr>
        <w:t>Free Transit/Reduced-Fare Shared Rides</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Any Pennsylvania resident, age 65 or older, can ride fixed-route public transit for free, while commuter rail trips are $1 each. Seniors age 65 or older also qualify to use shared-ride, demand-responsive services at a reduced rate.</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In 2011-12, the Lottery dedicated more than $168 million to provide nearly 36 million free transit rides and 4 million shared rides. On average last year, the Pennsylvania Lottery helped provide more than 110,000 free and reduced-fare rides for older Pennsylvanians, every day.</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For information on these programs, please call 717-783-8025.</w:t>
      </w:r>
    </w:p>
    <w:p w:rsidR="00322439" w:rsidRPr="00322439" w:rsidRDefault="00322439" w:rsidP="00322439">
      <w:pPr>
        <w:rPr>
          <w:rFonts w:ascii="Times" w:hAnsi="Times"/>
          <w:sz w:val="20"/>
          <w:szCs w:val="20"/>
        </w:rPr>
      </w:pPr>
      <w:r>
        <w:rPr>
          <w:rFonts w:ascii="Times" w:hAnsi="Times"/>
          <w:noProof/>
          <w:sz w:val="20"/>
          <w:szCs w:val="20"/>
        </w:rPr>
        <w:drawing>
          <wp:inline distT="0" distB="0" distL="0" distR="0">
            <wp:extent cx="1490345" cy="914400"/>
            <wp:effectExtent l="25400" t="0" r="8255" b="0"/>
            <wp:docPr id="4" name="Picture 4" descr="http://www.palottery.state.pa.us/getattachment/4794c866-de7b-4c98-96ea-18463b47796b/Property-Tax-and-Rent-Rebate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lottery.state.pa.us/getattachment/4794c866-de7b-4c98-96ea-18463b47796b/Property-Tax-and-Rent-Rebates.aspx"/>
                    <pic:cNvPicPr>
                      <a:picLocks noChangeAspect="1" noChangeArrowheads="1"/>
                    </pic:cNvPicPr>
                  </pic:nvPicPr>
                  <pic:blipFill>
                    <a:blip r:embed="rId12"/>
                    <a:srcRect/>
                    <a:stretch>
                      <a:fillRect/>
                    </a:stretch>
                  </pic:blipFill>
                  <pic:spPr bwMode="auto">
                    <a:xfrm>
                      <a:off x="0" y="0"/>
                      <a:ext cx="1490345" cy="914400"/>
                    </a:xfrm>
                    <a:prstGeom prst="rect">
                      <a:avLst/>
                    </a:prstGeom>
                    <a:noFill/>
                    <a:ln w="9525">
                      <a:noFill/>
                      <a:miter lim="800000"/>
                      <a:headEnd/>
                      <a:tailEnd/>
                    </a:ln>
                  </pic:spPr>
                </pic:pic>
              </a:graphicData>
            </a:graphic>
          </wp:inline>
        </w:drawing>
      </w:r>
    </w:p>
    <w:p w:rsidR="00322439" w:rsidRPr="00322439" w:rsidRDefault="00322439" w:rsidP="00322439">
      <w:pPr>
        <w:pBdr>
          <w:bottom w:val="single" w:sz="4" w:space="0" w:color="C3C3C3"/>
        </w:pBdr>
        <w:spacing w:line="373" w:lineRule="atLeast"/>
        <w:outlineLvl w:val="2"/>
        <w:rPr>
          <w:rFonts w:ascii="Times" w:hAnsi="Times"/>
          <w:color w:val="009C5C"/>
          <w:sz w:val="27"/>
          <w:szCs w:val="27"/>
        </w:rPr>
      </w:pPr>
      <w:r w:rsidRPr="00322439">
        <w:rPr>
          <w:rFonts w:ascii="Times" w:hAnsi="Times"/>
          <w:color w:val="009C5C"/>
          <w:sz w:val="27"/>
          <w:szCs w:val="27"/>
        </w:rPr>
        <w:t>Property Tax and Rent Rebates</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This program provides rebates up to $975 to eligible Pennsylvanians age 65 and older; widows and widowers 50 and older; and people with disabilities 18 and older. The income limit is $35,000 a year for homeowners and $15,000 annually for renters, and half of Social Security income is excluded.</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In 2011-12, Lottery and slots revenue provided more than $284 million in rebates to more than 604,000 residents. On average, about $779,000 in Property Tax and Rent Rebates was returned to older Pennsylvanians, every day.</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For more information, visit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"http://www.revenue.state.pa.us/"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revenue.state.pa.us</w:t>
      </w:r>
      <w:r w:rsidRPr="00322439">
        <w:rPr>
          <w:rFonts w:ascii="Times" w:hAnsi="Times" w:cs="Times New Roman"/>
          <w:sz w:val="20"/>
          <w:szCs w:val="20"/>
        </w:rPr>
        <w:fldChar w:fldCharType="end"/>
      </w:r>
      <w:r w:rsidRPr="00322439">
        <w:rPr>
          <w:rFonts w:ascii="Times" w:hAnsi="Times" w:cs="Times New Roman"/>
          <w:sz w:val="20"/>
          <w:szCs w:val="20"/>
        </w:rPr>
        <w:t> or call, toll-free, 1-888-222-9190.</w:t>
      </w:r>
    </w:p>
    <w:p w:rsidR="00322439" w:rsidRPr="00322439" w:rsidRDefault="00322439" w:rsidP="00322439">
      <w:pPr>
        <w:rPr>
          <w:rFonts w:ascii="Times" w:hAnsi="Times"/>
          <w:sz w:val="20"/>
          <w:szCs w:val="20"/>
        </w:rPr>
      </w:pPr>
      <w:r>
        <w:rPr>
          <w:rFonts w:ascii="Times" w:hAnsi="Times"/>
          <w:noProof/>
          <w:sz w:val="20"/>
          <w:szCs w:val="20"/>
        </w:rPr>
        <w:drawing>
          <wp:inline distT="0" distB="0" distL="0" distR="0">
            <wp:extent cx="1422400" cy="812800"/>
            <wp:effectExtent l="25400" t="0" r="0" b="0"/>
            <wp:docPr id="5" name="Picture 5" descr="http://www.palottery.state.pa.us/getattachment/2b34d986-ea29-4eef-ac65-f73e22ba383b/Long-Term-Living-Service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lottery.state.pa.us/getattachment/2b34d986-ea29-4eef-ac65-f73e22ba383b/Long-Term-Living-Services.aspx"/>
                    <pic:cNvPicPr>
                      <a:picLocks noChangeAspect="1" noChangeArrowheads="1"/>
                    </pic:cNvPicPr>
                  </pic:nvPicPr>
                  <pic:blipFill>
                    <a:blip r:embed="rId13"/>
                    <a:srcRect/>
                    <a:stretch>
                      <a:fillRect/>
                    </a:stretch>
                  </pic:blipFill>
                  <pic:spPr bwMode="auto">
                    <a:xfrm>
                      <a:off x="0" y="0"/>
                      <a:ext cx="1422400" cy="812800"/>
                    </a:xfrm>
                    <a:prstGeom prst="rect">
                      <a:avLst/>
                    </a:prstGeom>
                    <a:noFill/>
                    <a:ln w="9525">
                      <a:noFill/>
                      <a:miter lim="800000"/>
                      <a:headEnd/>
                      <a:tailEnd/>
                    </a:ln>
                  </pic:spPr>
                </pic:pic>
              </a:graphicData>
            </a:graphic>
          </wp:inline>
        </w:drawing>
      </w:r>
    </w:p>
    <w:p w:rsidR="00322439" w:rsidRPr="00322439" w:rsidRDefault="00322439" w:rsidP="00322439">
      <w:pPr>
        <w:pBdr>
          <w:bottom w:val="single" w:sz="4" w:space="0" w:color="C3C3C3"/>
        </w:pBdr>
        <w:spacing w:line="373" w:lineRule="atLeast"/>
        <w:outlineLvl w:val="2"/>
        <w:rPr>
          <w:rFonts w:ascii="Times" w:hAnsi="Times"/>
          <w:color w:val="009C5C"/>
          <w:sz w:val="27"/>
          <w:szCs w:val="27"/>
        </w:rPr>
      </w:pPr>
      <w:r w:rsidRPr="00322439">
        <w:rPr>
          <w:rFonts w:ascii="Times" w:hAnsi="Times"/>
          <w:color w:val="009C5C"/>
          <w:sz w:val="27"/>
          <w:szCs w:val="27"/>
        </w:rPr>
        <w:t>Long-Term Living Services</w:t>
      </w:r>
    </w:p>
    <w:p w:rsidR="00322439" w:rsidRPr="00322439" w:rsidRDefault="00322439" w:rsidP="00322439">
      <w:pPr>
        <w:spacing w:line="267" w:lineRule="atLeast"/>
        <w:rPr>
          <w:rFonts w:ascii="Times" w:hAnsi="Times" w:cs="Times New Roman"/>
          <w:sz w:val="20"/>
          <w:szCs w:val="20"/>
        </w:rPr>
      </w:pPr>
      <w:proofErr w:type="gramStart"/>
      <w:r w:rsidRPr="00322439">
        <w:rPr>
          <w:rFonts w:ascii="Times" w:hAnsi="Times" w:cs="Times New Roman"/>
          <w:sz w:val="20"/>
          <w:szCs w:val="20"/>
        </w:rPr>
        <w:t>The Pennsylvania Lottery funds long-term living services for eligible residents.</w:t>
      </w:r>
      <w:proofErr w:type="gramEnd"/>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Last year, the Lottery provided more than $178 million for long-term living services for more than 13,000 residents. On average last year, the Pennsylvania Lottery delivered nearly $489,000 in long-term living services, every day.</w:t>
      </w:r>
    </w:p>
    <w:p w:rsidR="00322439" w:rsidRPr="00322439" w:rsidRDefault="00322439" w:rsidP="00322439">
      <w:pPr>
        <w:spacing w:line="267" w:lineRule="atLeast"/>
        <w:rPr>
          <w:rFonts w:ascii="Times" w:hAnsi="Times" w:cs="Times New Roman"/>
          <w:sz w:val="20"/>
          <w:szCs w:val="20"/>
        </w:rPr>
      </w:pPr>
      <w:r w:rsidRPr="00322439">
        <w:rPr>
          <w:rFonts w:ascii="Times" w:hAnsi="Times" w:cs="Times New Roman"/>
          <w:sz w:val="20"/>
          <w:szCs w:val="20"/>
        </w:rPr>
        <w:t>For information, visit the Long-Term Living in PA website at </w:t>
      </w:r>
      <w:r w:rsidRPr="00322439">
        <w:rPr>
          <w:rFonts w:ascii="Times" w:hAnsi="Times" w:cs="Times New Roman"/>
          <w:sz w:val="20"/>
          <w:szCs w:val="20"/>
        </w:rPr>
        <w:fldChar w:fldCharType="begin"/>
      </w:r>
      <w:r w:rsidRPr="00322439">
        <w:rPr>
          <w:rFonts w:ascii="Times" w:hAnsi="Times" w:cs="Times New Roman"/>
          <w:sz w:val="20"/>
          <w:szCs w:val="20"/>
        </w:rPr>
        <w:instrText xml:space="preserve"> HYPERLINK "http://www.ltlinpa.com/" \t "_blank" </w:instrText>
      </w:r>
      <w:r w:rsidRPr="00322439">
        <w:rPr>
          <w:rFonts w:ascii="Times" w:hAnsi="Times" w:cs="Times New Roman"/>
          <w:sz w:val="20"/>
          <w:szCs w:val="20"/>
        </w:rPr>
      </w:r>
      <w:r w:rsidRPr="00322439">
        <w:rPr>
          <w:rFonts w:ascii="Times" w:hAnsi="Times" w:cs="Times New Roman"/>
          <w:sz w:val="20"/>
          <w:szCs w:val="20"/>
        </w:rPr>
        <w:fldChar w:fldCharType="separate"/>
      </w:r>
      <w:r w:rsidRPr="00322439">
        <w:rPr>
          <w:rFonts w:ascii="Times" w:hAnsi="Times" w:cs="Times New Roman"/>
          <w:color w:val="009C5C"/>
          <w:sz w:val="20"/>
          <w:szCs w:val="20"/>
          <w:u w:val="single"/>
        </w:rPr>
        <w:t>ltlinpa.com</w:t>
      </w:r>
      <w:r w:rsidRPr="00322439">
        <w:rPr>
          <w:rFonts w:ascii="Times" w:hAnsi="Times" w:cs="Times New Roman"/>
          <w:sz w:val="20"/>
          <w:szCs w:val="20"/>
        </w:rPr>
        <w:fldChar w:fldCharType="end"/>
      </w:r>
      <w:r w:rsidRPr="00322439">
        <w:rPr>
          <w:rFonts w:ascii="Times" w:hAnsi="Times" w:cs="Times New Roman"/>
          <w:sz w:val="20"/>
          <w:szCs w:val="20"/>
        </w:rPr>
        <w:t> or call, toll-free, 1-866-286-3636.</w:t>
      </w:r>
    </w:p>
    <w:p w:rsidR="00322439" w:rsidRPr="00322439" w:rsidRDefault="00322439" w:rsidP="00322439">
      <w:pPr>
        <w:rPr>
          <w:rFonts w:ascii="Times" w:hAnsi="Times"/>
          <w:sz w:val="20"/>
          <w:szCs w:val="20"/>
        </w:rPr>
      </w:pPr>
    </w:p>
    <w:p w:rsidR="00223CD9" w:rsidRDefault="00322439"/>
    <w:sectPr w:rsidR="00223CD9" w:rsidSect="005016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104"/>
    <w:multiLevelType w:val="multilevel"/>
    <w:tmpl w:val="B0B6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D26C3"/>
    <w:multiLevelType w:val="multilevel"/>
    <w:tmpl w:val="6DA8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439"/>
    <w:rsid w:val="003224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9"/>
  </w:style>
  <w:style w:type="paragraph" w:styleId="Heading1">
    <w:name w:val="heading 1"/>
    <w:basedOn w:val="Normal"/>
    <w:link w:val="Heading1Char"/>
    <w:uiPriority w:val="9"/>
    <w:rsid w:val="00322439"/>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32243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22439"/>
    <w:rPr>
      <w:rFonts w:ascii="Times" w:hAnsi="Times"/>
      <w:b/>
      <w:kern w:val="36"/>
      <w:sz w:val="48"/>
      <w:szCs w:val="20"/>
    </w:rPr>
  </w:style>
  <w:style w:type="character" w:customStyle="1" w:styleId="Heading3Char">
    <w:name w:val="Heading 3 Char"/>
    <w:basedOn w:val="DefaultParagraphFont"/>
    <w:link w:val="Heading3"/>
    <w:uiPriority w:val="9"/>
    <w:rsid w:val="00322439"/>
    <w:rPr>
      <w:rFonts w:ascii="Times" w:hAnsi="Times"/>
      <w:b/>
      <w:sz w:val="27"/>
      <w:szCs w:val="20"/>
    </w:rPr>
  </w:style>
  <w:style w:type="character" w:styleId="Hyperlink">
    <w:name w:val="Hyperlink"/>
    <w:basedOn w:val="DefaultParagraphFont"/>
    <w:uiPriority w:val="99"/>
    <w:rsid w:val="00322439"/>
    <w:rPr>
      <w:color w:val="0000FF"/>
      <w:u w:val="single"/>
    </w:rPr>
  </w:style>
  <w:style w:type="paragraph" w:styleId="NormalWeb">
    <w:name w:val="Normal (Web)"/>
    <w:basedOn w:val="Normal"/>
    <w:uiPriority w:val="99"/>
    <w:rsid w:val="0032243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22439"/>
  </w:style>
</w:styles>
</file>

<file path=word/webSettings.xml><?xml version="1.0" encoding="utf-8"?>
<w:webSettings xmlns:r="http://schemas.openxmlformats.org/officeDocument/2006/relationships" xmlns:w="http://schemas.openxmlformats.org/wordprocessingml/2006/main">
  <w:divs>
    <w:div w:id="1974670410">
      <w:bodyDiv w:val="1"/>
      <w:marLeft w:val="0"/>
      <w:marRight w:val="0"/>
      <w:marTop w:val="0"/>
      <w:marBottom w:val="0"/>
      <w:divBdr>
        <w:top w:val="none" w:sz="0" w:space="0" w:color="auto"/>
        <w:left w:val="none" w:sz="0" w:space="0" w:color="auto"/>
        <w:bottom w:val="none" w:sz="0" w:space="0" w:color="auto"/>
        <w:right w:val="none" w:sz="0" w:space="0" w:color="auto"/>
      </w:divBdr>
      <w:divsChild>
        <w:div w:id="1972511349">
          <w:marLeft w:val="0"/>
          <w:marRight w:val="0"/>
          <w:marTop w:val="0"/>
          <w:marBottom w:val="0"/>
          <w:divBdr>
            <w:top w:val="none" w:sz="0" w:space="0" w:color="auto"/>
            <w:left w:val="none" w:sz="0" w:space="0" w:color="auto"/>
            <w:bottom w:val="none" w:sz="0" w:space="0" w:color="auto"/>
            <w:right w:val="none" w:sz="0" w:space="0" w:color="auto"/>
          </w:divBdr>
          <w:divsChild>
            <w:div w:id="1141846713">
              <w:marLeft w:val="0"/>
              <w:marRight w:val="0"/>
              <w:marTop w:val="0"/>
              <w:marBottom w:val="0"/>
              <w:divBdr>
                <w:top w:val="none" w:sz="0" w:space="0" w:color="auto"/>
                <w:left w:val="none" w:sz="0" w:space="0" w:color="auto"/>
                <w:bottom w:val="none" w:sz="0" w:space="0" w:color="auto"/>
                <w:right w:val="none" w:sz="0" w:space="0" w:color="auto"/>
              </w:divBdr>
              <w:divsChild>
                <w:div w:id="313022830">
                  <w:marLeft w:val="0"/>
                  <w:marRight w:val="0"/>
                  <w:marTop w:val="0"/>
                  <w:marBottom w:val="0"/>
                  <w:divBdr>
                    <w:top w:val="none" w:sz="0" w:space="0" w:color="auto"/>
                    <w:left w:val="none" w:sz="0" w:space="0" w:color="auto"/>
                    <w:bottom w:val="none" w:sz="0" w:space="0" w:color="auto"/>
                    <w:right w:val="none" w:sz="0" w:space="0" w:color="auto"/>
                  </w:divBdr>
                  <w:divsChild>
                    <w:div w:id="1363245672">
                      <w:marLeft w:val="0"/>
                      <w:marRight w:val="0"/>
                      <w:marTop w:val="0"/>
                      <w:marBottom w:val="0"/>
                      <w:divBdr>
                        <w:top w:val="none" w:sz="0" w:space="0" w:color="auto"/>
                        <w:left w:val="none" w:sz="0" w:space="0" w:color="auto"/>
                        <w:bottom w:val="none" w:sz="0" w:space="0" w:color="auto"/>
                        <w:right w:val="none" w:sz="0" w:space="0" w:color="auto"/>
                      </w:divBdr>
                    </w:div>
                  </w:divsChild>
                </w:div>
                <w:div w:id="486409059">
                  <w:marLeft w:val="0"/>
                  <w:marRight w:val="0"/>
                  <w:marTop w:val="0"/>
                  <w:marBottom w:val="0"/>
                  <w:divBdr>
                    <w:top w:val="none" w:sz="0" w:space="0" w:color="auto"/>
                    <w:left w:val="none" w:sz="0" w:space="0" w:color="auto"/>
                    <w:bottom w:val="none" w:sz="0" w:space="0" w:color="auto"/>
                    <w:right w:val="none" w:sz="0" w:space="0" w:color="auto"/>
                  </w:divBdr>
                  <w:divsChild>
                    <w:div w:id="1880895562">
                      <w:marLeft w:val="0"/>
                      <w:marRight w:val="0"/>
                      <w:marTop w:val="0"/>
                      <w:marBottom w:val="0"/>
                      <w:divBdr>
                        <w:top w:val="none" w:sz="0" w:space="0" w:color="auto"/>
                        <w:left w:val="none" w:sz="0" w:space="0" w:color="auto"/>
                        <w:bottom w:val="none" w:sz="0" w:space="0" w:color="auto"/>
                        <w:right w:val="none" w:sz="0" w:space="0" w:color="auto"/>
                      </w:divBdr>
                    </w:div>
                  </w:divsChild>
                </w:div>
                <w:div w:id="1827165839">
                  <w:marLeft w:val="0"/>
                  <w:marRight w:val="0"/>
                  <w:marTop w:val="0"/>
                  <w:marBottom w:val="0"/>
                  <w:divBdr>
                    <w:top w:val="none" w:sz="0" w:space="0" w:color="auto"/>
                    <w:left w:val="none" w:sz="0" w:space="0" w:color="auto"/>
                    <w:bottom w:val="none" w:sz="0" w:space="0" w:color="auto"/>
                    <w:right w:val="none" w:sz="0" w:space="0" w:color="auto"/>
                  </w:divBdr>
                  <w:divsChild>
                    <w:div w:id="2130389761">
                      <w:marLeft w:val="0"/>
                      <w:marRight w:val="0"/>
                      <w:marTop w:val="0"/>
                      <w:marBottom w:val="0"/>
                      <w:divBdr>
                        <w:top w:val="none" w:sz="0" w:space="0" w:color="auto"/>
                        <w:left w:val="none" w:sz="0" w:space="0" w:color="auto"/>
                        <w:bottom w:val="none" w:sz="0" w:space="0" w:color="auto"/>
                        <w:right w:val="none" w:sz="0" w:space="0" w:color="auto"/>
                      </w:divBdr>
                    </w:div>
                  </w:divsChild>
                </w:div>
                <w:div w:id="2131625261">
                  <w:marLeft w:val="0"/>
                  <w:marRight w:val="0"/>
                  <w:marTop w:val="0"/>
                  <w:marBottom w:val="0"/>
                  <w:divBdr>
                    <w:top w:val="none" w:sz="0" w:space="0" w:color="auto"/>
                    <w:left w:val="none" w:sz="0" w:space="0" w:color="auto"/>
                    <w:bottom w:val="none" w:sz="0" w:space="0" w:color="auto"/>
                    <w:right w:val="none" w:sz="0" w:space="0" w:color="auto"/>
                  </w:divBdr>
                  <w:divsChild>
                    <w:div w:id="1329600557">
                      <w:marLeft w:val="0"/>
                      <w:marRight w:val="0"/>
                      <w:marTop w:val="0"/>
                      <w:marBottom w:val="0"/>
                      <w:divBdr>
                        <w:top w:val="none" w:sz="0" w:space="0" w:color="auto"/>
                        <w:left w:val="none" w:sz="0" w:space="0" w:color="auto"/>
                        <w:bottom w:val="none" w:sz="0" w:space="0" w:color="auto"/>
                        <w:right w:val="none" w:sz="0" w:space="0" w:color="auto"/>
                      </w:divBdr>
                    </w:div>
                  </w:divsChild>
                </w:div>
                <w:div w:id="558903374">
                  <w:marLeft w:val="0"/>
                  <w:marRight w:val="0"/>
                  <w:marTop w:val="0"/>
                  <w:marBottom w:val="0"/>
                  <w:divBdr>
                    <w:top w:val="none" w:sz="0" w:space="0" w:color="auto"/>
                    <w:left w:val="none" w:sz="0" w:space="0" w:color="auto"/>
                    <w:bottom w:val="none" w:sz="0" w:space="0" w:color="auto"/>
                    <w:right w:val="none" w:sz="0" w:space="0" w:color="auto"/>
                  </w:divBdr>
                  <w:divsChild>
                    <w:div w:id="109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lottery.state.pa.us/Winners-Beneficiaries/Winners.aspx" TargetMode="External"/><Relationship Id="rId6" Type="http://schemas.openxmlformats.org/officeDocument/2006/relationships/hyperlink" Target="http://www.palottery.state.pa.us/Winners-Beneficiaries/Who-Benefits.aspx" TargetMode="External"/><Relationship Id="rId7" Type="http://schemas.openxmlformats.org/officeDocument/2006/relationships/hyperlink" Target="http://www.palottery.state.pa.us/Winners-Beneficiaries/Where-Does-The-Money-Go.aspx" TargetMode="External"/><Relationship Id="rId8" Type="http://schemas.openxmlformats.org/officeDocument/2006/relationships/hyperlink" Target="http://www.palottery.state.pa.us/Winners-Beneficiaries/How-to-Claim-Your-Prize.aspx" TargetMode="External"/><Relationship Id="rId9" Type="http://schemas.openxmlformats.org/officeDocument/2006/relationships/hyperlink" Target="http://www.palottery.state.pa.us/Winners-Beneficiaries/Winners-Beneficiaries-Gallery.aspx"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Macintosh Word</Application>
  <DocSecurity>0</DocSecurity>
  <Lines>29</Lines>
  <Paragraphs>7</Paragraphs>
  <ScaleCrop>false</ScaleCrop>
  <Company>Graduate School of Journalism</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 Forbes-Gray</dc:creator>
  <cp:keywords/>
  <cp:lastModifiedBy>Caitlin S Forbes-Gray</cp:lastModifiedBy>
  <cp:revision>1</cp:revision>
  <dcterms:created xsi:type="dcterms:W3CDTF">2013-03-17T22:25:00Z</dcterms:created>
  <dcterms:modified xsi:type="dcterms:W3CDTF">2013-03-17T22:26:00Z</dcterms:modified>
</cp:coreProperties>
</file>